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Audit du site ARTAC et de son observatoire</w:t>
      </w:r>
    </w:p>
    <w:p>
      <w:pPr>
        <w:pStyle w:val="Subtitle"/>
      </w:pPr>
      <w:r>
        <w:t>Consolidation du 13 octobre 2026</w:t>
      </w:r>
    </w:p>
    <w:p>
      <w:r>
        <w:t>Cette revue vérifie les demandes de refonte, la cohérence éditoriale et les protections métier. Les améliorations sont livrées dans le code et les documents ; la mise en service institutionnelle conserve des conditions explicites. Il s’agit d’une revue technique, sans certification de sécurité ni test d’intrusion indépendant.</w:t>
      </w:r>
    </w:p>
    <w:p>
      <w:pPr>
        <w:pStyle w:val="Heading1"/>
      </w:pPr>
      <w:r>
        <w:t>Forme et parcours publics</w:t>
      </w:r>
    </w:p>
    <w:tbl>
      <w:tblPr>
        <w:tblW w:type="auto" w:w="0"/>
        <w:jc w:val="center"/>
        <w:tblLayout w:type="fixed"/>
        <w:tblLook w:firstColumn="1" w:firstRow="1" w:lastColumn="0" w:lastRow="0" w:noHBand="0" w:noVBand="1" w:val="04A0"/>
      </w:tblPr>
      <w:tblGrid>
        <w:gridCol w:w="2376"/>
        <w:gridCol w:w="6840"/>
      </w:tblGrid>
      <w:tr>
        <w:trPr>
          <w:cantSplit/>
          <w:tblHeader/>
        </w:trPr>
        <w:tc>
          <w:tcPr>
            <w:tcW w:type="dxa" w:w="2376"/>
            <w:vAlign w:val="center"/>
            <w:shd w:fill="173B5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color w:val="FFFFFF"/>
                <w:sz w:val="18"/>
              </w:rPr>
              <w:t>Demande</w:t>
            </w:r>
          </w:p>
        </w:tc>
        <w:tc>
          <w:tcPr>
            <w:tcW w:type="dxa" w:w="6840"/>
            <w:vAlign w:val="center"/>
            <w:shd w:fill="173B5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color w:val="FFFFFF"/>
                <w:sz w:val="18"/>
              </w:rPr>
              <w:t>Résultat livré</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Identité et navigation</w:t>
            </w:r>
          </w:p>
        </w:tc>
        <w:tc>
          <w:tcPr>
            <w:tcW w:type="dxa" w:w="6840"/>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Titre ARTAC ; observatoire dédié ; Postes et Indicateurs en sous rubriques.</w:t>
            </w:r>
          </w:p>
        </w:tc>
      </w:tr>
      <w:tr>
        <w:trPr>
          <w:cantSplit/>
        </w:trPr>
        <w:tc>
          <w:tcPr>
            <w:tcW w:type="dxa" w:w="2376"/>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Bannière et logos</w:t>
            </w:r>
          </w:p>
        </w:tc>
        <w:tc>
          <w:tcPr>
            <w:tcW w:type="dxa" w:w="6840"/>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Fond photographique visible, fondu, cadres dorés translucides, titre sur une ligne et logos alignés.</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Accueil</w:t>
            </w:r>
          </w:p>
        </w:tc>
        <w:tc>
          <w:tcPr>
            <w:tcW w:type="dxa" w:w="6840"/>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Photo demandée en cadrage complet avec agrandissement ; mot du Président sourcé ; bande d’actualités avec pause.</w:t>
            </w:r>
          </w:p>
        </w:tc>
      </w:tr>
      <w:tr>
        <w:trPr>
          <w:cantSplit/>
        </w:trPr>
        <w:tc>
          <w:tcPr>
            <w:tcW w:type="dxa" w:w="2376"/>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Membres et coopération</w:t>
            </w:r>
          </w:p>
        </w:tc>
        <w:tc>
          <w:tcPr>
            <w:tcW w:type="dxa" w:w="6840"/>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Répertoire de sept membres ; coopération dans le portail public ; bureau dans la gouvernance.</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Lisibilité et doublons</w:t>
            </w:r>
          </w:p>
        </w:tc>
        <w:tc>
          <w:tcPr>
            <w:tcW w:type="dxa" w:w="6840"/>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Cadres et espacements resserrés ; libellés avec icônes ; formats documentaires et photos regroupés.</w:t>
            </w:r>
          </w:p>
        </w:tc>
      </w:tr>
      <w:tr>
        <w:trPr>
          <w:cantSplit/>
        </w:trPr>
        <w:tc>
          <w:tcPr>
            <w:tcW w:type="dxa" w:w="2376"/>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Médiathèque</w:t>
            </w:r>
          </w:p>
        </w:tc>
        <w:tc>
          <w:tcPr>
            <w:tcW w:type="dxa" w:w="6840"/>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24 éléments affichés dont 22 photos et deux affiches ; cinq vidéos avec miniatures et lecteur intégré sur clic.</w:t>
            </w:r>
          </w:p>
        </w:tc>
      </w:tr>
    </w:tbl>
    <w:p/>
    <w:p>
      <w:r>
        <w:t>Les règles responsive et de contraste sont présentes dans les styles. Le cadrage source des logos est préservé ; le logo du Tchad utilise une fenêtre CSS pour réduire ses marges. Une recette interactive doit confirmer le rendu à plusieurs largeurs, le clavier et la lecture des vidéos ; aucun navigateur interactif n’a été utilisé pour cette revue.</w:t>
      </w:r>
    </w:p>
    <w:p>
      <w:r>
        <w:br w:type="page"/>
      </w:r>
    </w:p>
    <w:p>
      <w:pPr>
        <w:pStyle w:val="Heading1"/>
      </w:pPr>
      <w:r>
        <w:t>Contenus et migration</w:t>
      </w:r>
    </w:p>
    <w:p>
      <w:r>
        <w:t>L’inventaire consolidé comprend 261 notices, 57 fiches documentaires regroupant 64 fichiers PDF ou Office distincts, 24 éléments photographiques ou affiches et cinq vidéos. Les doublons de texte et de photo sont consolidés ; les binaires originaux sont conservés. Les notices incomplètes sont signalées et les anciennes adresses disposent de correspondances.</w:t>
      </w:r>
    </w:p>
    <w:p>
      <w:r>
        <w:t>La reprise publique ne constitue pas une migration intégrale de tous les articles. Les contenus accessibles, documents et médias récupérés sont autonomes ; les liens de source gardent leur valeur de provenance. La disparition de l’ancien site exige de conserver une sauvegarde des éléments restants. L’import XML WordPress est un complément possible si un export devient disponible, pas une condition imposée pour utiliser cette livraison.</w:t>
      </w:r>
    </w:p>
    <w:p>
      <w:r>
        <w:t>La veille contient 31 actualités sectorielles, 20 fiches d’emploi et cinq opportunités vérifiées. Au contrôle du 13 octobre, 12 emplois sont confirmés et encore ouverts, sept pistes restent à revérifier et une offre échue est masquée. Les dates de publication, d’événement et de candidature sont distinctes. Les couvertures nationales incomplètes sont documentées dans watch-verification.json.</w:t>
      </w:r>
    </w:p>
    <w:p>
      <w:pPr>
        <w:pStyle w:val="Heading1"/>
      </w:pPr>
      <w:r>
        <w:t>Sécurité et habilitations</w:t>
      </w:r>
    </w:p>
    <w:p>
      <w:r>
        <w:t>Le masquage est doublé de contrôles serveur par rôle, pays et indicateur. Les brouillons restent privés ; les validations séparent les acteurs ; les observations publiées respectent confidentialité et règles de diffusion. Les sessions et invitations sont révocables, les transactions OIDC sont à usage unique et les modifications concurrentes sont refusées.</w:t>
      </w:r>
    </w:p>
    <w:p>
      <w:r>
        <w:t>Les réponses sensibles utilisent private, no-store. La politique HTTP borne les intégrations et interdit les objets actifs ; les requêtes et transferts sont limités. Les documents réservés passent par les contrôles métier. La CSP conserve les scripts inline nécessaires au rendu actuel ; un durcissement par nonces reste à étudier.</w:t>
      </w:r>
    </w:p>
    <w:p>
      <w:r>
        <w:br w:type="page"/>
      </w:r>
    </w:p>
    <w:p>
      <w:pPr>
        <w:pStyle w:val="Heading1"/>
      </w:pPr>
      <w:r>
        <w:t>Preuves et limites</w:t>
      </w:r>
    </w:p>
    <w:tbl>
      <w:tblPr>
        <w:tblW w:type="auto" w:w="0"/>
        <w:jc w:val="center"/>
        <w:tblLayout w:type="fixed"/>
        <w:tblLook w:firstColumn="1" w:firstRow="1" w:lastColumn="0" w:lastRow="0" w:noHBand="0" w:noVBand="1" w:val="04A0"/>
      </w:tblPr>
      <w:tblGrid>
        <w:gridCol w:w="2664"/>
        <w:gridCol w:w="6552"/>
      </w:tblGrid>
      <w:tr>
        <w:trPr>
          <w:cantSplit/>
          <w:tblHeader/>
        </w:trPr>
        <w:tc>
          <w:tcPr>
            <w:tcW w:type="dxa" w:w="2664"/>
            <w:vAlign w:val="center"/>
            <w:shd w:fill="173B5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color w:val="FFFFFF"/>
                <w:sz w:val="18"/>
              </w:rPr>
              <w:t>Contrôle</w:t>
            </w:r>
          </w:p>
        </w:tc>
        <w:tc>
          <w:tcPr>
            <w:tcW w:type="dxa" w:w="6552"/>
            <w:vAlign w:val="center"/>
            <w:shd w:fill="173B5A"/>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color w:val="FFFFFF"/>
                <w:sz w:val="18"/>
              </w:rPr>
              <w:t>Résultat et portée</w:t>
            </w:r>
          </w:p>
        </w:tc>
      </w:tr>
      <w:tr>
        <w:trPr>
          <w:cantSplit/>
        </w:trPr>
        <w:tc>
          <w:tcPr>
            <w:tcW w:type="dxa" w:w="2664"/>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Fonctions métier</w:t>
            </w:r>
          </w:p>
        </w:tc>
        <w:tc>
          <w:tcPr>
            <w:tcW w:type="dxa" w:w="6552"/>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90 contrôles avec SQLite de test.</w:t>
            </w:r>
          </w:p>
        </w:tc>
      </w:tr>
      <w:tr>
        <w:trPr>
          <w:cantSplit/>
        </w:trPr>
        <w:tc>
          <w:tcPr>
            <w:tcW w:type="dxa" w:w="2664"/>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Authentification</w:t>
            </w:r>
          </w:p>
        </w:tc>
        <w:tc>
          <w:tcPr>
            <w:tcW w:type="dxa" w:w="6552"/>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12 contrôles avec RSA réel et fournisseur simulé.</w:t>
            </w:r>
          </w:p>
        </w:tc>
      </w:tr>
      <w:tr>
        <w:trPr>
          <w:cantSplit/>
        </w:trPr>
        <w:tc>
          <w:tcPr>
            <w:tcW w:type="dxa" w:w="2664"/>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Portail</w:t>
            </w:r>
          </w:p>
        </w:tc>
        <w:tc>
          <w:tcPr>
            <w:tcW w:type="dxa" w:w="6552"/>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80 contrôles de contenu, routes et rendu serveur.</w:t>
            </w:r>
          </w:p>
        </w:tc>
      </w:tr>
      <w:tr>
        <w:trPr>
          <w:cantSplit/>
        </w:trPr>
        <w:tc>
          <w:tcPr>
            <w:tcW w:type="dxa" w:w="2664"/>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Compilation et build</w:t>
            </w:r>
          </w:p>
        </w:tc>
        <w:tc>
          <w:tcPr>
            <w:tcW w:type="dxa" w:w="6552"/>
            <w:vAlign w:val="center"/>
            <w:shd w:fill="F0F4F7"/>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Vérifiés pour le paquet de livraison.</w:t>
            </w:r>
          </w:p>
        </w:tc>
      </w:tr>
      <w:tr>
        <w:trPr>
          <w:cantSplit/>
        </w:trPr>
        <w:tc>
          <w:tcPr>
            <w:tcW w:type="dxa" w:w="2664"/>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Navigateur et fournisseur réel</w:t>
            </w:r>
          </w:p>
        </w:tc>
        <w:tc>
          <w:tcPr>
            <w:tcW w:type="dxa" w:w="6552"/>
            <w:vAlign w:val="center"/>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pPr>
            <w:r>
              <w:rPr>
                <w:b w:val="0"/>
                <w:color w:val="000000"/>
                <w:sz w:val="18"/>
              </w:rPr>
              <w:t>Recette interactive et authentification institutionnelle réelle à effectuer.</w:t>
            </w:r>
          </w:p>
        </w:tc>
      </w:tr>
    </w:tbl>
    <w:p/>
    <w:p>
      <w:r>
        <w:t>Les journaux sont joints dans Audit. L’audit de dépendances de production et celui des outils sont séparés et conservés avec leur date. Au contrôle du 13 octobre 2026, le graphe de production comporte zéro avis et le graphe complet une alerte élevée sur braces dans les outils de construction, sans version corrigée indiquée. Les résultats du registre ne mesurent pas toute la sécurité ; cette alerte reste à suivre.</w:t>
      </w:r>
    </w:p>
    <w:p>
      <w:pPr>
        <w:pStyle w:val="Heading1"/>
      </w:pPr>
      <w:r>
        <w:t>Conditions de lancement</w:t>
      </w:r>
    </w:p>
    <w:p>
      <w:r>
        <w:t>Configurer et tester le fournisseur d’identité, transférer le compte de préproduction, raccorder le domaine cible et vérifier certificats, messagerie et redirections. Créer les campagnes avec les périodes officielles ; faire approuver les méthodes et règles de publication. Tester la chaîne complète avec quatre acteurs distincts et un visiteur.</w:t>
      </w:r>
    </w:p>
    <w:p>
      <w:r>
        <w:t>Pour des connexions directes de plusieurs sociétés opératrices, ajouter un périmètre entreprise au modèle et à tous les contrôles serveur. Le périmètre actuel est celui des agents nationaux et régionaux, par pays et indicateur. Ne pas utiliser le champ institution comme mécanisme d’isolation.</w:t>
      </w:r>
    </w:p>
    <w:p>
      <w:r>
        <w:t>Tester une restauration de D1 et R2 ; compléter et valider les textes et droits des médias avant la disparition de l’ancien site. La bascule de production intervient après cette recette. Le domaine GLOTRACK, le fournisseur réel et les campagnes officielles n’ont pas été activés par cette livraison.</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DejaVu Sans" w:hAnsi="DejaVu San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ans" w:hAnsi="DejaVu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du site ARTAC et de son observatoire</dc:title>
  <dc:subject/>
  <dc:creator>STRATEGIA AFRICA</dc:creator>
  <cp:keywords/>
  <dc:description>generated by python-docx</dc:description>
  <cp:lastModifiedBy/>
  <cp:revision>1</cp:revision>
  <dcterms:created xsi:type="dcterms:W3CDTF">2013-12-23T23:15:00Z</dcterms:created>
  <dcterms:modified xsi:type="dcterms:W3CDTF">2013-12-23T23:15:00Z</dcterms:modified>
  <cp:category/>
</cp:coreProperties>
</file>