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Proposition STRATEGIA AFRICA pour le site ARTAC</w:t>
      </w:r>
    </w:p>
    <w:p>
      <w:pPr>
        <w:pStyle w:val="Subtitle"/>
      </w:pPr>
      <w:r>
        <w:t>Consolidation du 13 octobre 2026</w:t>
      </w:r>
    </w:p>
    <w:p>
      <w:r>
        <w:t>Nous proposons à l’ARTAC une plateforme institutionnelle commune avec un observatoire des postes et télécommunications intégré. Le dossier associe le site livré, la gouvernance des données, la formation et un parcours de mise en service. Les modalités contractuelles seront arrêtées avec les représentants désignés par l’ARTAC.</w:t>
      </w:r>
    </w:p>
    <w:p>
      <w:pPr>
        <w:pStyle w:val="Heading1"/>
      </w:pPr>
      <w:r>
        <w:t>Plateforme proposée</w:t>
      </w:r>
    </w:p>
    <w:p>
      <w:r>
        <w:t>Le site principal présente l’ARTAC, ses sept membres, ses organes et ses activités. Les actualités, emplois, opportunités, documents et médias sont organisés par usage et date. L’observatoire rassemble les télécommunications et le numérique, les postes, les indicateurs et les programmes. L’espace professionnel adapte ses fonctions aux habilitations.</w:t>
      </w:r>
    </w:p>
    <w:p>
      <w:pPr>
        <w:pStyle w:val="Heading1"/>
      </w:pPr>
      <w:r>
        <w:t>Livrables disponibles</w:t>
      </w:r>
    </w:p>
    <w:p>
      <w:r>
        <w:t>Le dossier complet contient les sources, les migrations, le référentiel proposé de 138 indicateurs, les assets récupérés, le manuel courant, le modèle et le dictionnaire, le bilan d’audit et les journaux de contrôle. Les archives publiques sont reprises sous forme de notices et de fichiers locaux ; les textes intégraux restants sont identifiés. Les démonstrations sont clairement fictives.</w:t>
      </w:r>
    </w:p>
    <w:p>
      <w:pPr>
        <w:pStyle w:val="Heading1"/>
      </w:pPr>
      <w:r>
        <w:t>Accompagnement proposé</w:t>
      </w:r>
    </w:p>
    <w:p>
      <w:r>
        <w:t>Le cadrage fixe les indicateurs prioritaires, les rôles, les pays pilotes et les autorisations de diffusion. Le déploiement configure le domaine et l’identité institutionnelle, crée les comptes et campagnes, organise la sauvegarde et la recette. La formation suit une collecte complète jusqu’à la publication avec des acteurs distincts.</w:t>
      </w:r>
    </w:p>
    <w:p>
      <w:r>
        <w:t>L’exploitation comprend le suivi des incidents, les mises à jour, la revue des accès, les tests de restauration et l’actualisation éditoriale. Une intégration directe de sociétés opératrices nécessite un périmètre entreprise supplémentaire dans le modèle et les contrôles.</w:t>
      </w:r>
    </w:p>
    <w:p>
      <w:r>
        <w:br w:type="page"/>
      </w:r>
    </w:p>
    <w:p>
      <w:pPr>
        <w:pStyle w:val="Heading1"/>
      </w:pPr>
      <w:r>
        <w:t>Parcours de mise en service</w:t>
      </w:r>
    </w:p>
    <w:tbl>
      <w:tblPr>
        <w:tblW w:type="auto" w:w="0"/>
        <w:jc w:val="center"/>
        <w:tblLayout w:type="fixed"/>
        <w:tblLook w:firstColumn="1" w:firstRow="1" w:lastColumn="0" w:lastRow="0" w:noHBand="0" w:noVBand="1" w:val="04A0"/>
      </w:tblPr>
      <w:tblGrid>
        <w:gridCol w:w="2304"/>
        <w:gridCol w:w="6912"/>
      </w:tblGrid>
      <w:tr>
        <w:trPr>
          <w:cantSplit/>
          <w:tblHeader/>
        </w:trPr>
        <w:tc>
          <w:tcPr>
            <w:tcW w:type="dxa" w:w="2304"/>
            <w:vAlign w:val="center"/>
            <w:shd w:fill="173B5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color w:val="FFFFFF"/>
                <w:sz w:val="18"/>
              </w:rPr>
              <w:t>Phase</w:t>
            </w:r>
          </w:p>
        </w:tc>
        <w:tc>
          <w:tcPr>
            <w:tcW w:type="dxa" w:w="6912"/>
            <w:vAlign w:val="center"/>
            <w:shd w:fill="173B5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color w:val="FFFFFF"/>
                <w:sz w:val="18"/>
              </w:rPr>
              <w:t>Résultat soumis à validation</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Cadrage</w:t>
            </w:r>
          </w:p>
        </w:tc>
        <w:tc>
          <w:tcPr>
            <w:tcW w:type="dxa" w:w="691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Périmètre pilote, méthodes, responsables et critères de recette.</w:t>
            </w:r>
          </w:p>
        </w:tc>
      </w:tr>
      <w:tr>
        <w:trPr>
          <w:cantSplit/>
        </w:trPr>
        <w:tc>
          <w:tcPr>
            <w:tcW w:type="dxa" w:w="2304"/>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Préparation</w:t>
            </w:r>
          </w:p>
        </w:tc>
        <w:tc>
          <w:tcPr>
            <w:tcW w:type="dxa" w:w="6912"/>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Fournisseur d’identité réel, domaine, comptes, campagnes et sauvegardes.</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Pilote</w:t>
            </w:r>
          </w:p>
        </w:tc>
        <w:tc>
          <w:tcPr>
            <w:tcW w:type="dxa" w:w="691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Collecte, contrôle national, harmonisation, publication et consultation publique.</w:t>
            </w:r>
          </w:p>
        </w:tc>
      </w:tr>
      <w:tr>
        <w:trPr>
          <w:cantSplit/>
        </w:trPr>
        <w:tc>
          <w:tcPr>
            <w:tcW w:type="dxa" w:w="2304"/>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Déploiement</w:t>
            </w:r>
          </w:p>
        </w:tc>
        <w:tc>
          <w:tcPr>
            <w:tcW w:type="dxa" w:w="6912"/>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Formation, ouverture progressive des pays et décision de lancement.</w:t>
            </w:r>
          </w:p>
        </w:tc>
      </w:tr>
      <w:tr>
        <w:trPr>
          <w:cantSplit/>
        </w:trPr>
        <w:tc>
          <w:tcPr>
            <w:tcW w:type="dxa" w:w="230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Exploitation</w:t>
            </w:r>
          </w:p>
        </w:tc>
        <w:tc>
          <w:tcPr>
            <w:tcW w:type="dxa" w:w="691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Support et revue périodique des données, accès et contenus.</w:t>
            </w:r>
          </w:p>
        </w:tc>
      </w:tr>
    </w:tbl>
    <w:p/>
    <w:p>
      <w:r>
        <w:t>La version technique passe 90 contrôles fonctionnels, 12 contrôles d’authentification avec fournisseur simulé et 80 contrôles du portail. La recette dans un navigateur, l’identité réelle, le domaine GLOTRACK et les campagnes institutionnelles restent des étapes de mise en service. Ces contrôles ne constituent pas une certification de sécurité.</w:t>
      </w:r>
    </w:p>
    <w:p>
      <w:pPr>
        <w:pStyle w:val="Heading1"/>
      </w:pPr>
      <w:r>
        <w:t>Conditions de la proposition</w:t>
      </w:r>
    </w:p>
    <w:p>
      <w:r>
        <w:t>Le calendrier, le budget, les ressources, les niveaux de service, la propriété et les droits de maintenance seront convenus après cadrage. La proposition ne vaut pas contrat signé ni partenariat déjà conclu. Les références professionnelles et éléments juridiques de STRATEGIA AFRICA seront annexés par le porteur avant transmission formelle.</w:t>
      </w:r>
    </w:p>
    <w:p>
      <w:r>
        <w:t>Présentation portée par Jacques Yves Atangana pour STRATEGIA AFRICA. Les qualités et coordonnées du signataire sont à compléter avant envoi. Aucun message n’a été adressé à l’ARTAC dans le cadre de cette livraison.</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STRATEGIA AFRICA pour le site ARTAC</dc:title>
  <dc:subject/>
  <dc:creator>STRATEGIA AFRICA</dc:creator>
  <cp:keywords/>
  <dc:description>generated by python-docx</dc:description>
  <cp:lastModifiedBy/>
  <cp:revision>1</cp:revision>
  <dcterms:created xsi:type="dcterms:W3CDTF">2013-12-23T23:15:00Z</dcterms:created>
  <dcterms:modified xsi:type="dcterms:W3CDTF">2013-12-23T23:15:00Z</dcterms:modified>
  <cp:category/>
</cp:coreProperties>
</file>